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66985460" r:id="rId7"/>
        </w:object>
      </w:r>
    </w:p>
    <w:p w:rsidR="00FA5542" w:rsidRPr="000E6DA4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0E6DA4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0E6DA4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0E6DA4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0E6DA4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0E6DA4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0E6DA4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0E6DA4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0E6DA4">
        <w:rPr>
          <w:rFonts w:ascii="Times New Roman" w:hAnsi="Times New Roman"/>
          <w:sz w:val="32"/>
          <w:szCs w:val="32"/>
        </w:rPr>
        <w:t>ПОСТАНОВЛЕНИЕ</w:t>
      </w:r>
      <w:bookmarkStart w:id="0" w:name="_GoBack"/>
      <w:bookmarkEnd w:id="0"/>
    </w:p>
    <w:p w:rsidR="00FA5542" w:rsidRPr="00B9593C" w:rsidRDefault="009D4B8B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6DA4">
        <w:rPr>
          <w:rFonts w:ascii="Times New Roman" w:hAnsi="Times New Roman"/>
          <w:sz w:val="28"/>
          <w:szCs w:val="28"/>
        </w:rPr>
        <w:t>16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451032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</w:t>
      </w:r>
      <w:r w:rsidR="00451032">
        <w:rPr>
          <w:rFonts w:ascii="Times New Roman" w:hAnsi="Times New Roman"/>
          <w:sz w:val="28"/>
          <w:szCs w:val="28"/>
        </w:rPr>
        <w:t>4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 w:rsidR="000E6DA4">
        <w:rPr>
          <w:rFonts w:ascii="Times New Roman" w:hAnsi="Times New Roman"/>
          <w:sz w:val="28"/>
          <w:szCs w:val="28"/>
        </w:rPr>
        <w:t>45</w:t>
      </w:r>
    </w:p>
    <w:p w:rsidR="001F77A9" w:rsidRDefault="00FA5542" w:rsidP="001F77A9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C35909" w:rsidRPr="00C35909" w:rsidRDefault="009C7176" w:rsidP="00786F2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BC7722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</w:t>
      </w:r>
      <w:r w:rsidRPr="00BC7722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Вознесенского муниципального округа от </w:t>
      </w:r>
      <w:r w:rsidR="003E4D5B" w:rsidRPr="003E4D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21.12.2023 года №264</w:t>
      </w:r>
      <w:r w:rsidR="003E4D5B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0B4EAD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"О внесении изменений в решение Совета депутатов Вознесенского муниципального округа  </w:t>
      </w:r>
      <w:r w:rsidR="009D4B8B" w:rsidRPr="00CE3385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«О бюджете Вознесенского муниципального округа на 2023 год и на плановый период 2024 и 2025 годов»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="00C35909"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</w:t>
      </w:r>
      <w:proofErr w:type="gramEnd"/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gramStart"/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района от 29 декабря 2022 года за №</w:t>
      </w:r>
      <w:r w:rsidR="003E4D5B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976, внести изменения, изложив ее в редакции согласно приложению.</w:t>
      </w:r>
      <w:proofErr w:type="gramEnd"/>
    </w:p>
    <w:p w:rsidR="00FA5542" w:rsidRPr="00C35909" w:rsidRDefault="00FA5542" w:rsidP="00786F2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786F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Контроль за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D5B" w:rsidRDefault="003E4D5B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D5B" w:rsidRDefault="003E4D5B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5C76AA" w:rsidP="00FA5542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</w:t>
      </w:r>
      <w:r w:rsidR="005C76AA">
        <w:rPr>
          <w:rFonts w:ascii="Times New Roman" w:hAnsi="Times New Roman"/>
          <w:sz w:val="28"/>
          <w:szCs w:val="28"/>
        </w:rPr>
        <w:t xml:space="preserve">   </w:t>
      </w:r>
      <w:r w:rsidR="00C35909">
        <w:rPr>
          <w:rFonts w:ascii="Times New Roman" w:hAnsi="Times New Roman"/>
          <w:sz w:val="28"/>
          <w:szCs w:val="28"/>
        </w:rPr>
        <w:t xml:space="preserve"> </w:t>
      </w:r>
      <w:r w:rsidR="005C76AA">
        <w:rPr>
          <w:rFonts w:ascii="Times New Roman" w:hAnsi="Times New Roman"/>
          <w:sz w:val="28"/>
          <w:szCs w:val="28"/>
        </w:rPr>
        <w:t>А.И.Антонов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786F29" w:rsidRDefault="00786F29" w:rsidP="00CF5FF2">
      <w:pPr>
        <w:jc w:val="center"/>
        <w:rPr>
          <w:rFonts w:ascii="Times New Roman" w:hAnsi="Times New Roman"/>
          <w:sz w:val="28"/>
          <w:szCs w:val="28"/>
        </w:rPr>
        <w:sectPr w:rsidR="00786F29" w:rsidSect="00786F2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CF5FF2" w:rsidRPr="004E47BA" w:rsidRDefault="006E342B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CF5FF2" w:rsidRPr="004E47BA" w:rsidRDefault="00085597" w:rsidP="0008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CF5FF2" w:rsidRPr="004E47BA" w:rsidRDefault="00CF5FF2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CF5FF2" w:rsidRPr="005479CF" w:rsidRDefault="00451032" w:rsidP="00CF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A02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6D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F5FF2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A027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6D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:rsidR="008D09F1" w:rsidRPr="006E342B" w:rsidRDefault="008D09F1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муниципальной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</w:t>
            </w:r>
            <w:r w:rsidR="004F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54057,3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52341,1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1716,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F44732" w:rsidRDefault="00F44732" w:rsidP="00C75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771973,34</w:t>
            </w:r>
          </w:p>
          <w:p w:rsidR="001F22C7" w:rsidRDefault="0005359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36760,63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283946,31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13521,25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195888,68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9355,88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ндустриальная в р.п.Вознесенское </w:t>
            </w: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571762,11</w:t>
            </w:r>
          </w:p>
          <w:p w:rsidR="001F22C7" w:rsidRDefault="00155938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28588,11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1138080,02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67437,59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1618502,20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</w:t>
            </w:r>
            <w:r w:rsidRPr="00F0172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249833,10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267260,34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574600,02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6846F3">
        <w:trPr>
          <w:gridAfter w:val="1"/>
          <w:wAfter w:w="12" w:type="dxa"/>
          <w:trHeight w:val="886"/>
        </w:trPr>
        <w:tc>
          <w:tcPr>
            <w:tcW w:w="3118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6846F3">
        <w:tc>
          <w:tcPr>
            <w:tcW w:w="311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10261D" w:rsidP="00F7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54057,3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A22372" w:rsidRDefault="006116E4" w:rsidP="00F75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116262,2</w:t>
            </w:r>
          </w:p>
        </w:tc>
      </w:tr>
      <w:tr w:rsidR="008D09F1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10261D" w:rsidP="00CE3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28773,8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8D09F1" w:rsidRPr="008D09F1" w:rsidRDefault="006116E4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87876,1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E5591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Default="00CE5591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24880,7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99188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99188C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109238,5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99188C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27057,6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99188C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80852,3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CE5591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21778,0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4B42D7" w:rsidRDefault="00CE5591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24880,7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A50E46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9316,7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7E2A50" w:rsidRDefault="00A50E46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49002,8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A50E46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9316,7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7E2A50" w:rsidRDefault="00A50E46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49002,8</w:t>
            </w:r>
          </w:p>
        </w:tc>
      </w:tr>
      <w:tr w:rsidR="008D09F1" w:rsidRPr="008D09F1" w:rsidTr="006846F3">
        <w:trPr>
          <w:trHeight w:val="665"/>
        </w:trPr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6846F3">
        <w:tc>
          <w:tcPr>
            <w:tcW w:w="3118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A316FA" w:rsidP="005F5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  <w:r w:rsidR="005F5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5F5874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5163,9</w:t>
            </w:r>
          </w:p>
        </w:tc>
      </w:tr>
      <w:tr w:rsidR="0001413E" w:rsidRPr="008D09F1" w:rsidTr="006846F3"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5F587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337,2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5F5874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</w:tr>
      <w:tr w:rsidR="0001413E" w:rsidRPr="008D09F1" w:rsidTr="006846F3">
        <w:trPr>
          <w:trHeight w:val="679"/>
        </w:trPr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1633,0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4908,4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254,5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64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5F587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368,7</w:t>
            </w:r>
          </w:p>
        </w:tc>
      </w:tr>
      <w:tr w:rsidR="007558DB" w:rsidRPr="008D09F1" w:rsidTr="006846F3">
        <w:trPr>
          <w:trHeight w:val="583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5F587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368,7</w:t>
            </w:r>
          </w:p>
        </w:tc>
      </w:tr>
      <w:tr w:rsidR="007558DB" w:rsidRPr="008D09F1" w:rsidTr="006846F3">
        <w:trPr>
          <w:trHeight w:val="69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12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670A" w:rsidRPr="008D09F1" w:rsidRDefault="00A316FA" w:rsidP="00F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6846F3">
        <w:trPr>
          <w:trHeight w:val="584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A316F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A316F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357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F5874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2840,5</w:t>
            </w:r>
          </w:p>
        </w:tc>
      </w:tr>
      <w:tr w:rsidR="007558DB" w:rsidRPr="008D09F1" w:rsidTr="006846F3">
        <w:trPr>
          <w:trHeight w:val="688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51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F587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2840,5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860E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860E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860E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5F587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5F587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5F587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3089,5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F5874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6184,1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F5874" w:rsidP="005F5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17517,7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99188C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5754,1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5F587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17517,7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99188C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75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23445,9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23445,9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4699,8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4699,8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F220CF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F220CF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7023,8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F220CF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F220CF" w:rsidP="0029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7023,8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97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F220CF" w:rsidP="00E8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F22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7023,8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F220CF" w:rsidP="00E8605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1716,2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F22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7023,8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54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54057,3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4F0A13" w:rsidRDefault="004F0A13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A13">
              <w:rPr>
                <w:rFonts w:ascii="Times New Roman" w:hAnsi="Times New Roman" w:cs="Times New Roman"/>
                <w:sz w:val="24"/>
                <w:szCs w:val="24"/>
              </w:rPr>
              <w:t>116262,2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0A13" w:rsidRPr="008D09F1" w:rsidTr="001F027B">
        <w:tc>
          <w:tcPr>
            <w:tcW w:w="3606" w:type="dxa"/>
            <w:vMerge w:val="restart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F0A13" w:rsidRPr="005E29FF" w:rsidRDefault="004F0A1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52341,1</w:t>
            </w: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16442,4</w:t>
            </w:r>
          </w:p>
        </w:tc>
        <w:tc>
          <w:tcPr>
            <w:tcW w:w="1077" w:type="dxa"/>
            <w:gridSpan w:val="2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4F0A13" w:rsidRDefault="004F0A13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  <w:vAlign w:val="center"/>
          </w:tcPr>
          <w:p w:rsidR="004F0A13" w:rsidRPr="004F0A13" w:rsidRDefault="004F0A13" w:rsidP="00A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109238,5</w:t>
            </w:r>
          </w:p>
        </w:tc>
      </w:tr>
      <w:tr w:rsidR="004F0A13" w:rsidRPr="008D09F1" w:rsidTr="00E31C26">
        <w:tc>
          <w:tcPr>
            <w:tcW w:w="3606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F0A13" w:rsidRPr="008D09F1" w:rsidTr="002D514F">
        <w:tc>
          <w:tcPr>
            <w:tcW w:w="3606" w:type="dxa"/>
            <w:vMerge w:val="restart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F0A13" w:rsidRPr="005E29FF" w:rsidRDefault="004F0A13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F0A13" w:rsidRPr="008D09F1" w:rsidRDefault="004F0A13" w:rsidP="00B27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1716,2</w:t>
            </w:r>
          </w:p>
        </w:tc>
        <w:tc>
          <w:tcPr>
            <w:tcW w:w="1134" w:type="dxa"/>
          </w:tcPr>
          <w:p w:rsidR="004F0A13" w:rsidRDefault="004F0A13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4F0A13" w:rsidRDefault="004F0A13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4F0A13" w:rsidRDefault="004F0A13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4F0A13" w:rsidRDefault="004F0A13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4F0A13" w:rsidRPr="004F0A13" w:rsidRDefault="004F0A13" w:rsidP="00AC7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A13">
              <w:rPr>
                <w:rFonts w:ascii="Times New Roman" w:hAnsi="Times New Roman" w:cs="Times New Roman"/>
                <w:sz w:val="24"/>
                <w:szCs w:val="24"/>
              </w:rPr>
              <w:t>7023,8</w:t>
            </w:r>
          </w:p>
        </w:tc>
      </w:tr>
      <w:tr w:rsidR="004F0A13" w:rsidRPr="008D09F1" w:rsidTr="00E31C26">
        <w:tc>
          <w:tcPr>
            <w:tcW w:w="3606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F0A13" w:rsidRPr="008D09F1" w:rsidRDefault="004F0A13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4F0A13" w:rsidRPr="008D09F1" w:rsidRDefault="004F0A13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16,2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C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F0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062"/>
      </w:tblGrid>
      <w:tr w:rsidR="00E31C26" w:rsidRPr="00074E9A" w:rsidTr="00850CF3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850CF3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850CF3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850CF3">
        <w:trPr>
          <w:cantSplit/>
          <w:trHeight w:val="240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850CF3">
        <w:trPr>
          <w:cantSplit/>
          <w:trHeight w:val="413"/>
        </w:trPr>
        <w:tc>
          <w:tcPr>
            <w:tcW w:w="1623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50CF3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822671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50CF3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41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410648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822671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410648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410648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AC7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AC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41064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41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50CF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822671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822671" w:rsidP="00D01A8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62" w:rsidRDefault="00973762"/>
    <w:sectPr w:rsidR="00973762" w:rsidSect="00786F29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53596"/>
    <w:rsid w:val="00061E6C"/>
    <w:rsid w:val="00074E9A"/>
    <w:rsid w:val="00085597"/>
    <w:rsid w:val="0009731C"/>
    <w:rsid w:val="000A0D82"/>
    <w:rsid w:val="000B4EAD"/>
    <w:rsid w:val="000B5E68"/>
    <w:rsid w:val="000C3021"/>
    <w:rsid w:val="000C3074"/>
    <w:rsid w:val="000C64A5"/>
    <w:rsid w:val="000D6A28"/>
    <w:rsid w:val="000E0C86"/>
    <w:rsid w:val="000E6DA4"/>
    <w:rsid w:val="000F0FAE"/>
    <w:rsid w:val="0010261D"/>
    <w:rsid w:val="00124D19"/>
    <w:rsid w:val="00126575"/>
    <w:rsid w:val="00155938"/>
    <w:rsid w:val="001863AB"/>
    <w:rsid w:val="001C67C0"/>
    <w:rsid w:val="001D0BEB"/>
    <w:rsid w:val="001F22C7"/>
    <w:rsid w:val="001F74D6"/>
    <w:rsid w:val="001F77A9"/>
    <w:rsid w:val="00213E47"/>
    <w:rsid w:val="002226D2"/>
    <w:rsid w:val="00222AD3"/>
    <w:rsid w:val="00240074"/>
    <w:rsid w:val="002514D0"/>
    <w:rsid w:val="0026151C"/>
    <w:rsid w:val="0026306D"/>
    <w:rsid w:val="00287362"/>
    <w:rsid w:val="002902AD"/>
    <w:rsid w:val="0029758A"/>
    <w:rsid w:val="002B47FB"/>
    <w:rsid w:val="002C3244"/>
    <w:rsid w:val="002C47FF"/>
    <w:rsid w:val="002D066E"/>
    <w:rsid w:val="002D35EC"/>
    <w:rsid w:val="002D514F"/>
    <w:rsid w:val="002E555C"/>
    <w:rsid w:val="00302A12"/>
    <w:rsid w:val="003078CF"/>
    <w:rsid w:val="003132C3"/>
    <w:rsid w:val="003233A9"/>
    <w:rsid w:val="003271A4"/>
    <w:rsid w:val="0035587D"/>
    <w:rsid w:val="00355983"/>
    <w:rsid w:val="00362104"/>
    <w:rsid w:val="003719C1"/>
    <w:rsid w:val="00383B35"/>
    <w:rsid w:val="0039628D"/>
    <w:rsid w:val="003A432D"/>
    <w:rsid w:val="003A69C6"/>
    <w:rsid w:val="003B0C8A"/>
    <w:rsid w:val="003B2C66"/>
    <w:rsid w:val="003B5A0F"/>
    <w:rsid w:val="003D0025"/>
    <w:rsid w:val="003E41BA"/>
    <w:rsid w:val="003E4D5B"/>
    <w:rsid w:val="00402B41"/>
    <w:rsid w:val="004073B6"/>
    <w:rsid w:val="004102B4"/>
    <w:rsid w:val="00410648"/>
    <w:rsid w:val="00416F15"/>
    <w:rsid w:val="0042095E"/>
    <w:rsid w:val="004278F5"/>
    <w:rsid w:val="00451032"/>
    <w:rsid w:val="004834D2"/>
    <w:rsid w:val="00490C00"/>
    <w:rsid w:val="004A3052"/>
    <w:rsid w:val="004A7FBB"/>
    <w:rsid w:val="004B42D7"/>
    <w:rsid w:val="004F08AA"/>
    <w:rsid w:val="004F0A13"/>
    <w:rsid w:val="004F199D"/>
    <w:rsid w:val="0050093A"/>
    <w:rsid w:val="00506960"/>
    <w:rsid w:val="00515984"/>
    <w:rsid w:val="005479CF"/>
    <w:rsid w:val="00555792"/>
    <w:rsid w:val="00557EFC"/>
    <w:rsid w:val="00562FA7"/>
    <w:rsid w:val="00566699"/>
    <w:rsid w:val="00580A8F"/>
    <w:rsid w:val="00580F29"/>
    <w:rsid w:val="00592FF8"/>
    <w:rsid w:val="005B3693"/>
    <w:rsid w:val="005B6FAD"/>
    <w:rsid w:val="005C76AA"/>
    <w:rsid w:val="005D7FEF"/>
    <w:rsid w:val="005E1B35"/>
    <w:rsid w:val="005E29FF"/>
    <w:rsid w:val="005F5874"/>
    <w:rsid w:val="00604677"/>
    <w:rsid w:val="00610A9B"/>
    <w:rsid w:val="006116E4"/>
    <w:rsid w:val="006126CC"/>
    <w:rsid w:val="00620C48"/>
    <w:rsid w:val="0062527D"/>
    <w:rsid w:val="0065314E"/>
    <w:rsid w:val="00672448"/>
    <w:rsid w:val="006803A3"/>
    <w:rsid w:val="006846F3"/>
    <w:rsid w:val="006A7FC9"/>
    <w:rsid w:val="006C090B"/>
    <w:rsid w:val="006D55B1"/>
    <w:rsid w:val="006E342B"/>
    <w:rsid w:val="0070459D"/>
    <w:rsid w:val="00710322"/>
    <w:rsid w:val="0071068C"/>
    <w:rsid w:val="00717F04"/>
    <w:rsid w:val="00721033"/>
    <w:rsid w:val="00722D9F"/>
    <w:rsid w:val="00723D00"/>
    <w:rsid w:val="00734751"/>
    <w:rsid w:val="00741CE3"/>
    <w:rsid w:val="007453D2"/>
    <w:rsid w:val="007558DB"/>
    <w:rsid w:val="00783AEE"/>
    <w:rsid w:val="007860E3"/>
    <w:rsid w:val="00786F29"/>
    <w:rsid w:val="007924FF"/>
    <w:rsid w:val="00793BE4"/>
    <w:rsid w:val="00794B6F"/>
    <w:rsid w:val="00796E24"/>
    <w:rsid w:val="007C3CAC"/>
    <w:rsid w:val="007D1EF4"/>
    <w:rsid w:val="007E2A50"/>
    <w:rsid w:val="007F7CC9"/>
    <w:rsid w:val="00811F26"/>
    <w:rsid w:val="00822671"/>
    <w:rsid w:val="008245BC"/>
    <w:rsid w:val="00850CF3"/>
    <w:rsid w:val="008608B0"/>
    <w:rsid w:val="00863EA3"/>
    <w:rsid w:val="0087692B"/>
    <w:rsid w:val="0087744E"/>
    <w:rsid w:val="008A2CFD"/>
    <w:rsid w:val="008C10C9"/>
    <w:rsid w:val="008D09F1"/>
    <w:rsid w:val="00905358"/>
    <w:rsid w:val="00920674"/>
    <w:rsid w:val="0092639F"/>
    <w:rsid w:val="00930AE8"/>
    <w:rsid w:val="00946B3A"/>
    <w:rsid w:val="00972421"/>
    <w:rsid w:val="00973762"/>
    <w:rsid w:val="0099188C"/>
    <w:rsid w:val="009A2F11"/>
    <w:rsid w:val="009B1A8B"/>
    <w:rsid w:val="009C7176"/>
    <w:rsid w:val="009D4B8B"/>
    <w:rsid w:val="009E5CE4"/>
    <w:rsid w:val="009E6059"/>
    <w:rsid w:val="009F6E8D"/>
    <w:rsid w:val="00A027F9"/>
    <w:rsid w:val="00A2220D"/>
    <w:rsid w:val="00A22372"/>
    <w:rsid w:val="00A249B1"/>
    <w:rsid w:val="00A24CB5"/>
    <w:rsid w:val="00A316FA"/>
    <w:rsid w:val="00A50E46"/>
    <w:rsid w:val="00A53482"/>
    <w:rsid w:val="00A720E1"/>
    <w:rsid w:val="00A8454E"/>
    <w:rsid w:val="00A95813"/>
    <w:rsid w:val="00AA1328"/>
    <w:rsid w:val="00AA1463"/>
    <w:rsid w:val="00AB0FA5"/>
    <w:rsid w:val="00AC7E51"/>
    <w:rsid w:val="00AE05C2"/>
    <w:rsid w:val="00AF581B"/>
    <w:rsid w:val="00AF6446"/>
    <w:rsid w:val="00B05707"/>
    <w:rsid w:val="00B27EDD"/>
    <w:rsid w:val="00B3484D"/>
    <w:rsid w:val="00B43369"/>
    <w:rsid w:val="00B52E0F"/>
    <w:rsid w:val="00B54BBD"/>
    <w:rsid w:val="00B601FA"/>
    <w:rsid w:val="00B80B7A"/>
    <w:rsid w:val="00B96A89"/>
    <w:rsid w:val="00BB39B6"/>
    <w:rsid w:val="00BB48B0"/>
    <w:rsid w:val="00BD39D4"/>
    <w:rsid w:val="00C06CB6"/>
    <w:rsid w:val="00C07BC7"/>
    <w:rsid w:val="00C205E3"/>
    <w:rsid w:val="00C35909"/>
    <w:rsid w:val="00C40514"/>
    <w:rsid w:val="00C4522D"/>
    <w:rsid w:val="00C53779"/>
    <w:rsid w:val="00C55205"/>
    <w:rsid w:val="00C758BC"/>
    <w:rsid w:val="00C83270"/>
    <w:rsid w:val="00CA4C42"/>
    <w:rsid w:val="00CB05F7"/>
    <w:rsid w:val="00CB5912"/>
    <w:rsid w:val="00CB7395"/>
    <w:rsid w:val="00CC20B2"/>
    <w:rsid w:val="00CC232D"/>
    <w:rsid w:val="00CC4D0E"/>
    <w:rsid w:val="00CE34BB"/>
    <w:rsid w:val="00CE5591"/>
    <w:rsid w:val="00CF5FF2"/>
    <w:rsid w:val="00D01A86"/>
    <w:rsid w:val="00D11DCC"/>
    <w:rsid w:val="00D443A4"/>
    <w:rsid w:val="00D74EF0"/>
    <w:rsid w:val="00DA31E9"/>
    <w:rsid w:val="00DC443A"/>
    <w:rsid w:val="00DC569B"/>
    <w:rsid w:val="00DD46C2"/>
    <w:rsid w:val="00E023ED"/>
    <w:rsid w:val="00E21DC9"/>
    <w:rsid w:val="00E2499F"/>
    <w:rsid w:val="00E31C26"/>
    <w:rsid w:val="00E47B9D"/>
    <w:rsid w:val="00E57C65"/>
    <w:rsid w:val="00E63148"/>
    <w:rsid w:val="00E63248"/>
    <w:rsid w:val="00E77C42"/>
    <w:rsid w:val="00E8605A"/>
    <w:rsid w:val="00ED6CCC"/>
    <w:rsid w:val="00F0172F"/>
    <w:rsid w:val="00F034E5"/>
    <w:rsid w:val="00F143FB"/>
    <w:rsid w:val="00F220CF"/>
    <w:rsid w:val="00F44732"/>
    <w:rsid w:val="00F508C2"/>
    <w:rsid w:val="00F7569A"/>
    <w:rsid w:val="00F7789C"/>
    <w:rsid w:val="00F8669E"/>
    <w:rsid w:val="00F9670A"/>
    <w:rsid w:val="00FA198D"/>
    <w:rsid w:val="00FA5542"/>
    <w:rsid w:val="00FB4E15"/>
    <w:rsid w:val="00FB629B"/>
    <w:rsid w:val="00FC0C60"/>
    <w:rsid w:val="00FC1EB9"/>
    <w:rsid w:val="00FC2CFA"/>
    <w:rsid w:val="00FC49C6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5020</Words>
  <Characters>28617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2023-11-03T10:53:00Z</cp:lastPrinted>
  <dcterms:created xsi:type="dcterms:W3CDTF">2024-01-17T05:31:00Z</dcterms:created>
  <dcterms:modified xsi:type="dcterms:W3CDTF">2024-01-17T05:31:00Z</dcterms:modified>
</cp:coreProperties>
</file>